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960" w:line="240" w:lineRule="auto"/>
        <w:ind w:left="6481" w:firstLine="0"/>
        <w:jc w:val="center"/>
        <w:rPr>
          <w:color w:val="000000"/>
          <w:sz w:val="24"/>
          <w:szCs w:val="24"/>
        </w:rPr>
      </w:pPr>
      <w:bookmarkStart w:colFirst="0" w:colLast="0" w:name="_heading=h.rbm98mywvnxj" w:id="0"/>
      <w:bookmarkEnd w:id="0"/>
      <w:r w:rsidDel="00000000" w:rsidR="00000000" w:rsidRPr="00000000">
        <w:rPr>
          <w:color w:val="000000"/>
          <w:sz w:val="24"/>
          <w:szCs w:val="24"/>
          <w:rtl w:val="0"/>
        </w:rPr>
        <w:t xml:space="preserve">Al Dirigente Scolastico</w:t>
      </w:r>
    </w:p>
    <w:p w:rsidR="00000000" w:rsidDel="00000000" w:rsidP="00000000" w:rsidRDefault="00000000" w:rsidRPr="00000000" w14:paraId="00000002">
      <w:pPr>
        <w:spacing w:after="0" w:line="240" w:lineRule="auto"/>
        <w:ind w:left="6480" w:firstLine="0"/>
        <w:jc w:val="center"/>
        <w:rPr>
          <w:color w:val="000000"/>
          <w:sz w:val="24"/>
          <w:szCs w:val="24"/>
        </w:rPr>
      </w:pPr>
      <w:r w:rsidDel="00000000" w:rsidR="00000000" w:rsidRPr="00000000">
        <w:rPr>
          <w:color w:val="000000"/>
          <w:sz w:val="24"/>
          <w:szCs w:val="24"/>
          <w:rtl w:val="0"/>
        </w:rPr>
        <w:t xml:space="preserve">dell’Istituto Comprensivo Di Gallicano nel Lazio di Gallicano nel Lazio (RM)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20" w:line="240" w:lineRule="auto"/>
        <w:ind w:left="936" w:right="0" w:hanging="93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Oggetto: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Dichiarazione di inesistenza di incompatibilità relativa all’attribuzione dell’incarico di personale ATA per la realizzazione del progetto formativo relativo ai Fondi Strutturali Europei – Programma nazionale “Scuola e competenze” 2021-2027 – Fondo Sociale Europeo Plus (FSE+) – Priorità 1 - Obiettivo specifico: ESO</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4.6 –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Azioni ESO4.6.A1, ESO4.6.A2 – Sotto azioni ESO4.6.A1.B, ESO4.6.A1.C, ESO4.6.A2.B, ESO4.6.A2.C</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Nota di Adesione prot. n. 136777 del 9 ottobre 2024 – Decreto del Ministro dell’istruzione e del merito 27 maggio 2024, n. 102 – c.d. “Agenda NORD”.</w:t>
      </w:r>
      <w:r w:rsidDel="00000000" w:rsidR="00000000" w:rsidRPr="00000000">
        <w:rPr>
          <w:rtl w:val="0"/>
        </w:rPr>
      </w:r>
    </w:p>
    <w:p w:rsidR="00000000" w:rsidDel="00000000" w:rsidP="00000000" w:rsidRDefault="00000000" w:rsidRPr="00000000" w14:paraId="00000004">
      <w:pPr>
        <w:widowControl w:val="0"/>
        <w:spacing w:after="0" w:line="240" w:lineRule="auto"/>
        <w:ind w:left="1787" w:hanging="851"/>
        <w:jc w:val="both"/>
        <w:rPr>
          <w:b w:val="1"/>
          <w:bCs w:val="1"/>
          <w:color w:val="000000"/>
          <w:sz w:val="24"/>
          <w:szCs w:val="24"/>
        </w:rPr>
      </w:pPr>
      <w:r w:rsidDel="00000000" w:rsidR="00000000" w:rsidRPr="00000000">
        <w:rPr>
          <w:b w:val="1"/>
          <w:bCs w:val="1"/>
          <w:sz w:val="24"/>
          <w:szCs w:val="24"/>
          <w:rtl w:val="0"/>
        </w:rPr>
        <w:t xml:space="preserve">Titolo </w:t>
      </w:r>
      <w:r w:rsidDel="00000000" w:rsidR="00000000" w:rsidRPr="00000000">
        <w:rPr>
          <w:b w:val="1"/>
          <w:bCs w:val="1"/>
          <w:color w:val="000000"/>
          <w:sz w:val="24"/>
          <w:szCs w:val="24"/>
          <w:rtl w:val="0"/>
        </w:rPr>
        <w:t xml:space="preserve">del Progetto: Ogni apprendimento è un'opportunità;</w:t>
      </w:r>
    </w:p>
    <w:p w:rsidR="00000000" w:rsidDel="00000000" w:rsidP="00000000" w:rsidRDefault="00000000" w:rsidRPr="00000000" w14:paraId="00000005">
      <w:pPr>
        <w:widowControl w:val="0"/>
        <w:spacing w:after="0" w:line="240" w:lineRule="auto"/>
        <w:ind w:left="1787" w:hanging="851"/>
        <w:jc w:val="both"/>
        <w:rPr>
          <w:b w:val="1"/>
          <w:bCs w:val="1"/>
          <w:color w:val="000000"/>
          <w:sz w:val="24"/>
          <w:szCs w:val="24"/>
        </w:rPr>
      </w:pPr>
      <w:r w:rsidDel="00000000" w:rsidR="00000000" w:rsidRPr="00000000">
        <w:rPr>
          <w:b w:val="1"/>
          <w:bCs w:val="1"/>
          <w:color w:val="000000"/>
          <w:sz w:val="24"/>
          <w:szCs w:val="24"/>
          <w:rtl w:val="0"/>
        </w:rPr>
        <w:t xml:space="preserve">Codice Progetto: ESO4.6.A1.B-FSEPNLA-2024-122;</w:t>
      </w:r>
    </w:p>
    <w:p w:rsidR="00000000" w:rsidDel="00000000" w:rsidP="00000000" w:rsidRDefault="00000000" w:rsidRPr="00000000" w14:paraId="00000006">
      <w:pPr>
        <w:widowControl w:val="0"/>
        <w:spacing w:after="0" w:line="240" w:lineRule="auto"/>
        <w:ind w:left="1787" w:hanging="851"/>
        <w:jc w:val="both"/>
        <w:rPr>
          <w:b w:val="1"/>
          <w:bCs w:val="1"/>
          <w:color w:val="000000"/>
        </w:rPr>
      </w:pPr>
      <w:r w:rsidDel="00000000" w:rsidR="00000000" w:rsidRPr="00000000">
        <w:rPr>
          <w:b w:val="1"/>
          <w:bCs w:val="1"/>
          <w:color w:val="000000"/>
          <w:sz w:val="24"/>
          <w:szCs w:val="24"/>
          <w:rtl w:val="0"/>
        </w:rPr>
        <w:t xml:space="preserve">CUP: G24C24000110006;</w:t>
      </w:r>
      <w:r w:rsidDel="00000000" w:rsidR="00000000" w:rsidRPr="00000000">
        <w:rPr>
          <w:rtl w:val="0"/>
        </w:rPr>
      </w:r>
    </w:p>
    <w:p w:rsidR="00000000" w:rsidDel="00000000" w:rsidP="00000000" w:rsidRDefault="00000000" w:rsidRPr="00000000" w14:paraId="00000007">
      <w:pPr>
        <w:spacing w:after="120" w:before="360" w:lineRule="auto"/>
        <w:ind w:firstLine="284"/>
        <w:jc w:val="both"/>
        <w:rPr>
          <w:sz w:val="24"/>
          <w:szCs w:val="24"/>
        </w:rPr>
      </w:pPr>
      <w:r w:rsidDel="00000000" w:rsidR="00000000" w:rsidRPr="00000000">
        <w:rPr>
          <w:color w:val="ff0000"/>
          <w:sz w:val="24"/>
          <w:szCs w:val="24"/>
          <w:rtl w:val="0"/>
        </w:rPr>
        <w:t xml:space="preserve">Il/La </w:t>
      </w:r>
      <w:r w:rsidDel="00000000" w:rsidR="00000000" w:rsidRPr="00000000">
        <w:rPr>
          <w:sz w:val="24"/>
          <w:szCs w:val="24"/>
          <w:rtl w:val="0"/>
        </w:rPr>
        <w:t xml:space="preserve">sottoscritt</w:t>
      </w:r>
      <w:r w:rsidDel="00000000" w:rsidR="00000000" w:rsidRPr="00000000">
        <w:rPr>
          <w:color w:val="ff0000"/>
          <w:sz w:val="24"/>
          <w:szCs w:val="24"/>
          <w:rtl w:val="0"/>
        </w:rPr>
        <w:t xml:space="preserve">o/a ${nome_ATA} </w:t>
      </w:r>
      <w:r w:rsidDel="00000000" w:rsidR="00000000" w:rsidRPr="00000000">
        <w:rPr>
          <w:sz w:val="24"/>
          <w:szCs w:val="24"/>
          <w:rtl w:val="0"/>
        </w:rPr>
        <w:t xml:space="preserve">nat</w:t>
      </w:r>
      <w:r w:rsidDel="00000000" w:rsidR="00000000" w:rsidRPr="00000000">
        <w:rPr>
          <w:color w:val="ff0000"/>
          <w:sz w:val="24"/>
          <w:szCs w:val="24"/>
          <w:rtl w:val="0"/>
        </w:rPr>
        <w:t xml:space="preserve">o/a </w:t>
      </w:r>
      <w:r w:rsidDel="00000000" w:rsidR="00000000" w:rsidRPr="00000000">
        <w:rPr>
          <w:sz w:val="24"/>
          <w:szCs w:val="24"/>
          <w:rtl w:val="0"/>
        </w:rPr>
        <w:t xml:space="preserve">a </w:t>
      </w:r>
      <w:r w:rsidDel="00000000" w:rsidR="00000000" w:rsidRPr="00000000">
        <w:rPr>
          <w:color w:val="ff0000"/>
          <w:sz w:val="24"/>
          <w:szCs w:val="24"/>
          <w:rtl w:val="0"/>
        </w:rPr>
        <w:t xml:space="preserve">_________________________ (___)</w:t>
      </w:r>
      <w:r w:rsidDel="00000000" w:rsidR="00000000" w:rsidRPr="00000000">
        <w:rPr>
          <w:sz w:val="24"/>
          <w:szCs w:val="24"/>
          <w:rtl w:val="0"/>
        </w:rPr>
        <w:t xml:space="preserve">, in data </w:t>
      </w:r>
      <w:r w:rsidDel="00000000" w:rsidR="00000000" w:rsidRPr="00000000">
        <w:rPr>
          <w:color w:val="ff0000"/>
          <w:sz w:val="24"/>
          <w:szCs w:val="24"/>
          <w:rtl w:val="0"/>
        </w:rPr>
        <w:t xml:space="preserve">___/___/_______</w:t>
      </w:r>
      <w:r w:rsidDel="00000000" w:rsidR="00000000" w:rsidRPr="00000000">
        <w:rPr>
          <w:sz w:val="24"/>
          <w:szCs w:val="24"/>
          <w:rtl w:val="0"/>
        </w:rPr>
        <w:t xml:space="preserve">, C.F. </w:t>
      </w:r>
      <w:r w:rsidDel="00000000" w:rsidR="00000000" w:rsidRPr="00000000">
        <w:rPr>
          <w:color w:val="ff0000"/>
          <w:sz w:val="24"/>
          <w:szCs w:val="24"/>
          <w:rtl w:val="0"/>
        </w:rPr>
        <w:t xml:space="preserve">___________________________</w:t>
      </w:r>
      <w:r w:rsidDel="00000000" w:rsidR="00000000" w:rsidRPr="00000000">
        <w:rPr>
          <w:sz w:val="24"/>
          <w:szCs w:val="24"/>
          <w:rtl w:val="0"/>
        </w:rPr>
        <w:t xml:space="preserve">, </w:t>
      </w:r>
      <w:r w:rsidDel="00000000" w:rsidR="00000000" w:rsidRPr="00000000">
        <w:rPr>
          <w:color w:val="ff0000"/>
          <w:sz w:val="24"/>
          <w:szCs w:val="24"/>
          <w:rtl w:val="0"/>
        </w:rPr>
        <w:t xml:space="preserve">in servizio presso codesta Istituzione Scolastica, con la qualifica di (AA o CS) oppure personale esterno all’Istituzione Scolastica</w:t>
      </w:r>
      <w:r w:rsidDel="00000000" w:rsidR="00000000" w:rsidRPr="00000000">
        <w:rPr>
          <w:sz w:val="24"/>
          <w:szCs w:val="24"/>
          <w:rtl w:val="0"/>
        </w:rPr>
        <w:t xml:space="preserve">, in relazione all’incarico specificato in oggetto </w:t>
      </w:r>
    </w:p>
    <w:p w:rsidR="00000000" w:rsidDel="00000000" w:rsidP="00000000" w:rsidRDefault="00000000" w:rsidRPr="00000000" w14:paraId="00000008">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09">
      <w:pPr>
        <w:spacing w:after="0" w:line="240" w:lineRule="auto"/>
        <w:ind w:left="1134" w:right="567" w:hanging="1134"/>
        <w:jc w:val="both"/>
        <w:rPr>
          <w:sz w:val="24"/>
          <w:szCs w:val="24"/>
        </w:rPr>
      </w:pPr>
      <w:r w:rsidDel="00000000" w:rsidR="00000000" w:rsidRPr="00000000">
        <w:rPr>
          <w:b w:val="1"/>
          <w:bCs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iCs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A">
      <w:pPr>
        <w:spacing w:after="0" w:line="240" w:lineRule="auto"/>
        <w:ind w:left="1134" w:right="567" w:hanging="1134"/>
        <w:jc w:val="both"/>
        <w:rPr>
          <w:sz w:val="24"/>
          <w:szCs w:val="24"/>
        </w:rPr>
      </w:pPr>
      <w:r w:rsidDel="00000000" w:rsidR="00000000" w:rsidRPr="00000000">
        <w:rPr>
          <w:b w:val="1"/>
          <w:bCs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iCs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0B">
      <w:pPr>
        <w:spacing w:after="0" w:line="240" w:lineRule="auto"/>
        <w:ind w:left="1134" w:right="567" w:hanging="1134"/>
        <w:jc w:val="both"/>
        <w:rPr>
          <w:sz w:val="24"/>
          <w:szCs w:val="24"/>
        </w:rPr>
      </w:pPr>
      <w:bookmarkStart w:colFirst="0" w:colLast="0" w:name="_heading=h.1dbvkhmtrl4w" w:id="1"/>
      <w:bookmarkEnd w:id="1"/>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iCs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C">
      <w:pPr>
        <w:spacing w:after="0" w:line="240" w:lineRule="auto"/>
        <w:ind w:left="1134" w:right="567" w:hanging="1134"/>
        <w:jc w:val="both"/>
        <w:rPr>
          <w:b w:val="1"/>
          <w:bCs w:val="1"/>
          <w:sz w:val="24"/>
          <w:szCs w:val="24"/>
        </w:rPr>
      </w:pPr>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iCs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D">
      <w:pPr>
        <w:spacing w:after="0" w:line="240" w:lineRule="auto"/>
        <w:ind w:left="1134" w:right="567" w:hanging="1134"/>
        <w:jc w:val="both"/>
        <w:rPr>
          <w:sz w:val="24"/>
          <w:szCs w:val="24"/>
        </w:rPr>
      </w:pPr>
      <w:r w:rsidDel="00000000" w:rsidR="00000000" w:rsidRPr="00000000">
        <w:rPr>
          <w:b w:val="1"/>
          <w:bCs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0E">
      <w:pPr>
        <w:spacing w:after="0" w:line="240" w:lineRule="auto"/>
        <w:ind w:left="1134" w:right="567" w:hanging="1134"/>
        <w:jc w:val="both"/>
        <w:rPr>
          <w:sz w:val="24"/>
          <w:szCs w:val="24"/>
        </w:rPr>
      </w:pPr>
      <w:r w:rsidDel="00000000" w:rsidR="00000000" w:rsidRPr="00000000">
        <w:rPr>
          <w:b w:val="1"/>
          <w:bCs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iCs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0F">
      <w:pPr>
        <w:spacing w:after="120" w:before="120" w:lineRule="auto"/>
        <w:jc w:val="center"/>
        <w:rPr>
          <w:b w:val="1"/>
          <w:bCs w:val="1"/>
          <w:sz w:val="28"/>
          <w:szCs w:val="28"/>
        </w:rPr>
      </w:pPr>
      <w:r w:rsidDel="00000000" w:rsidR="00000000" w:rsidRPr="00000000">
        <w:rPr>
          <w:b w:val="1"/>
          <w:bCs w:val="1"/>
          <w:sz w:val="28"/>
          <w:szCs w:val="28"/>
          <w:rtl w:val="0"/>
        </w:rPr>
        <w:t xml:space="preserve">DICHIARA</w:t>
      </w:r>
    </w:p>
    <w:p w:rsidR="00000000" w:rsidDel="00000000" w:rsidP="00000000" w:rsidRDefault="00000000" w:rsidRPr="00000000" w14:paraId="00000010">
      <w:pPr>
        <w:spacing w:after="120" w:before="120" w:lineRule="auto"/>
        <w:jc w:val="both"/>
        <w:rPr>
          <w:b w:val="1"/>
          <w:bCs w:val="1"/>
          <w:sz w:val="24"/>
          <w:szCs w:val="24"/>
        </w:rPr>
      </w:pPr>
      <w:r w:rsidDel="00000000" w:rsidR="00000000" w:rsidRPr="00000000">
        <w:rPr>
          <w:b w:val="1"/>
          <w:bCs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supporto gestionale (x gli AA), supporto operativo (x i CS e 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D">
      <w:pPr>
        <w:widowControl w:val="0"/>
        <w:spacing w:after="0" w:before="360" w:line="240" w:lineRule="auto"/>
        <w:ind w:left="5954" w:firstLine="0"/>
        <w:jc w:val="center"/>
        <w:rPr>
          <w:b w:val="1"/>
          <w:bCs w:val="1"/>
          <w:sz w:val="24"/>
          <w:szCs w:val="24"/>
        </w:rPr>
      </w:pPr>
      <w:r w:rsidDel="00000000" w:rsidR="00000000" w:rsidRPr="00000000">
        <w:rPr>
          <w:b w:val="1"/>
          <w:bCs w:val="1"/>
          <w:sz w:val="24"/>
          <w:szCs w:val="24"/>
          <w:rtl w:val="0"/>
        </w:rPr>
        <w:t xml:space="preserve">Il Dichiarante</w:t>
      </w:r>
    </w:p>
    <w:p w:rsidR="00000000" w:rsidDel="00000000" w:rsidP="00000000" w:rsidRDefault="00000000" w:rsidRPr="00000000" w14:paraId="0000001E">
      <w:pPr>
        <w:widowControl w:val="0"/>
        <w:spacing w:after="0" w:line="240" w:lineRule="auto"/>
        <w:ind w:left="5954" w:firstLine="0"/>
        <w:jc w:val="center"/>
        <w:rPr>
          <w:b w:val="1"/>
          <w:bCs w:val="1"/>
          <w:i w:val="1"/>
          <w:iCs w:val="1"/>
          <w:color w:val="ff0000"/>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left="5954" w:firstLine="0"/>
        <w:jc w:val="center"/>
        <w:rPr>
          <w:b w:val="1"/>
          <w:bCs w:val="1"/>
          <w:i w:val="1"/>
          <w:iCs w:val="1"/>
          <w:color w:val="ff0000"/>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left="5954" w:firstLine="0"/>
        <w:jc w:val="center"/>
        <w:rPr>
          <w:sz w:val="18"/>
          <w:szCs w:val="18"/>
        </w:rPr>
      </w:pPr>
      <w:r w:rsidDel="00000000" w:rsidR="00000000" w:rsidRPr="00000000">
        <w:rPr>
          <w:sz w:val="24"/>
          <w:szCs w:val="24"/>
          <w:rtl w:val="0"/>
        </w:rPr>
        <w:t xml:space="preserve">_____________________________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6515100" cy="9239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515100" cy="92392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8FdcstedzLVj7++3C/W9DIbJdA==">CgMxLjAyDmgucmJtOThteXd2bnhqMg5oLjFkYnZraG10cmw0dzgAciExTFczOUoyTkQwU0NNb2VvODRnY3Y0SWtQZnlENzUtRXU=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